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16A9F" w14:textId="77777777"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85DB6">
        <w:t>8</w:t>
      </w:r>
      <w:r w:rsidRPr="00CE0424">
        <w:tab/>
      </w:r>
      <w:r w:rsidRPr="00CE0424">
        <w:rPr>
          <w:sz w:val="32"/>
          <w:szCs w:val="32"/>
        </w:rPr>
        <w:t xml:space="preserve">Tdoc </w:t>
      </w:r>
      <w:r w:rsidR="00290056" w:rsidRPr="00290056">
        <w:rPr>
          <w:sz w:val="32"/>
          <w:szCs w:val="32"/>
        </w:rPr>
        <w:t>R2-1914629</w:t>
      </w:r>
    </w:p>
    <w:p w14:paraId="54F42DA7" w14:textId="77777777" w:rsidR="00E90E49" w:rsidRPr="00CE0424" w:rsidRDefault="00B85DB6" w:rsidP="00311702">
      <w:pPr>
        <w:pStyle w:val="3GPPHeader"/>
      </w:pPr>
      <w:r>
        <w:t xml:space="preserve">Reno, Nevada, USA, </w:t>
      </w:r>
      <w:r w:rsidR="00F36C4C">
        <w:t>18</w:t>
      </w:r>
      <w:r w:rsidR="00EC4447" w:rsidRPr="00EC4447">
        <w:rPr>
          <w:vertAlign w:val="superscript"/>
        </w:rPr>
        <w:t>th</w:t>
      </w:r>
      <w:r w:rsidR="00EC4447">
        <w:t xml:space="preserve"> </w:t>
      </w:r>
      <w:r>
        <w:t>– 22</w:t>
      </w:r>
      <w:r w:rsidRPr="00B85DB6">
        <w:rPr>
          <w:vertAlign w:val="superscript"/>
        </w:rPr>
        <w:t>nd</w:t>
      </w:r>
      <w:r>
        <w:t xml:space="preserve"> November</w:t>
      </w:r>
      <w:r w:rsidR="0021785C">
        <w:t xml:space="preserve"> </w:t>
      </w:r>
      <w:r w:rsidR="00126758" w:rsidRPr="00126758">
        <w:t>201</w:t>
      </w:r>
      <w:r w:rsidR="00126758">
        <w:t>9</w:t>
      </w:r>
    </w:p>
    <w:p w14:paraId="36883BFB" w14:textId="77777777" w:rsidR="00E90E49" w:rsidRPr="00CE0424" w:rsidRDefault="00E90E49" w:rsidP="00357380">
      <w:pPr>
        <w:pStyle w:val="3GPPHeader"/>
      </w:pPr>
    </w:p>
    <w:p w14:paraId="2371DDA2" w14:textId="77777777" w:rsidR="00E90E49" w:rsidRPr="008D1B6E" w:rsidRDefault="00E90E49" w:rsidP="00311702">
      <w:pPr>
        <w:pStyle w:val="3GPPHeader"/>
        <w:rPr>
          <w:sz w:val="22"/>
          <w:szCs w:val="22"/>
          <w:lang w:val="en-US"/>
        </w:rPr>
      </w:pPr>
      <w:r w:rsidRPr="008D1B6E">
        <w:rPr>
          <w:sz w:val="22"/>
          <w:szCs w:val="22"/>
          <w:lang w:val="en-US"/>
        </w:rPr>
        <w:t>Agenda Item:</w:t>
      </w:r>
      <w:r w:rsidRPr="008D1B6E">
        <w:rPr>
          <w:sz w:val="22"/>
          <w:szCs w:val="22"/>
          <w:lang w:val="en-US"/>
        </w:rPr>
        <w:tab/>
      </w:r>
      <w:r w:rsidR="00290056" w:rsidRPr="008D1B6E">
        <w:rPr>
          <w:sz w:val="22"/>
          <w:szCs w:val="22"/>
          <w:lang w:val="en-US"/>
        </w:rPr>
        <w:t>6.20.3</w:t>
      </w:r>
    </w:p>
    <w:p w14:paraId="6250545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EC041D5"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290056" w:rsidRPr="00290056">
        <w:rPr>
          <w:sz w:val="22"/>
          <w:szCs w:val="22"/>
        </w:rPr>
        <w:t xml:space="preserve">On skipping </w:t>
      </w:r>
      <w:proofErr w:type="spellStart"/>
      <w:r w:rsidR="00290056" w:rsidRPr="00290056">
        <w:rPr>
          <w:i/>
          <w:sz w:val="22"/>
          <w:szCs w:val="22"/>
        </w:rPr>
        <w:t>supportedBandCombinations</w:t>
      </w:r>
      <w:proofErr w:type="spellEnd"/>
      <w:r w:rsidR="00290056" w:rsidRPr="00290056">
        <w:rPr>
          <w:sz w:val="22"/>
          <w:szCs w:val="22"/>
        </w:rPr>
        <w:t xml:space="preserve"> for band n90</w:t>
      </w:r>
    </w:p>
    <w:p w14:paraId="70AA5301" w14:textId="77777777" w:rsidR="00E90E49" w:rsidRPr="00CE0424" w:rsidRDefault="00E90E49" w:rsidP="00D546FF">
      <w:pPr>
        <w:pStyle w:val="3GPPHeader"/>
        <w:rPr>
          <w:sz w:val="22"/>
          <w:szCs w:val="22"/>
        </w:rPr>
      </w:pPr>
      <w:r w:rsidRPr="00CE0424">
        <w:rPr>
          <w:sz w:val="22"/>
          <w:szCs w:val="22"/>
        </w:rPr>
        <w:t xml:space="preserve">Document </w:t>
      </w:r>
      <w:r w:rsidRPr="00290056">
        <w:rPr>
          <w:sz w:val="22"/>
          <w:szCs w:val="22"/>
        </w:rPr>
        <w:t>for:</w:t>
      </w:r>
      <w:r w:rsidRPr="00290056">
        <w:rPr>
          <w:sz w:val="22"/>
          <w:szCs w:val="22"/>
        </w:rPr>
        <w:tab/>
        <w:t>Discussion, Decision</w:t>
      </w:r>
    </w:p>
    <w:p w14:paraId="513F4A45" w14:textId="77777777" w:rsidR="00E90E49" w:rsidRPr="00CE0424" w:rsidRDefault="00E90E49" w:rsidP="00E90E49"/>
    <w:p w14:paraId="04110B1E" w14:textId="77777777" w:rsidR="00E90E49" w:rsidRPr="00CE0424" w:rsidRDefault="00230D18" w:rsidP="00CE0424">
      <w:pPr>
        <w:pStyle w:val="Heading1"/>
      </w:pPr>
      <w:r>
        <w:t>1</w:t>
      </w:r>
      <w:r>
        <w:tab/>
      </w:r>
      <w:r w:rsidR="00E90E49" w:rsidRPr="00CE0424">
        <w:t>Introduction</w:t>
      </w:r>
    </w:p>
    <w:p w14:paraId="1CE42D68" w14:textId="3BA1CC40" w:rsidR="00477768" w:rsidRDefault="00D60933" w:rsidP="00CE0424">
      <w:pPr>
        <w:pStyle w:val="BodyText"/>
      </w:pPr>
      <w:r>
        <w:t xml:space="preserve">The newly defined by n90 is largely equivalent to n41. To save signalling overhead when the network requests both bands, it was proposed in </w:t>
      </w:r>
      <w:hyperlink r:id="rId11" w:history="1">
        <w:r w:rsidRPr="00D60933">
          <w:rPr>
            <w:rStyle w:val="Hyperlink"/>
          </w:rPr>
          <w:t>R2-1913667</w:t>
        </w:r>
      </w:hyperlink>
      <w:r>
        <w:t xml:space="preserve"> that the UE omits the band combination entries for n90 and that the network uses instead the ones reported for n41.</w:t>
      </w:r>
    </w:p>
    <w:p w14:paraId="49258D04" w14:textId="03B557A8" w:rsidR="00D60933" w:rsidRPr="00CE0424" w:rsidRDefault="00D60933" w:rsidP="00CE0424">
      <w:pPr>
        <w:pStyle w:val="BodyText"/>
      </w:pPr>
      <w:r>
        <w:t xml:space="preserve">In this contribution we explain what risks this approach bears and we propose not to introduce such a solution. </w:t>
      </w:r>
    </w:p>
    <w:p w14:paraId="78AEA866" w14:textId="77777777" w:rsidR="00290056" w:rsidRPr="00290056" w:rsidRDefault="00230D18" w:rsidP="00290056">
      <w:pPr>
        <w:pStyle w:val="Heading1"/>
      </w:pPr>
      <w:bookmarkStart w:id="0" w:name="_Ref178064866"/>
      <w:r>
        <w:t>2</w:t>
      </w:r>
      <w:r>
        <w:tab/>
      </w:r>
      <w:r w:rsidR="004000E8" w:rsidRPr="00CE0424">
        <w:t>Discussion</w:t>
      </w:r>
      <w:bookmarkEnd w:id="0"/>
    </w:p>
    <w:p w14:paraId="308897BB" w14:textId="77777777" w:rsidR="00290056" w:rsidRDefault="00290056" w:rsidP="00290056">
      <w:pPr>
        <w:pStyle w:val="BodyText"/>
      </w:pPr>
      <w:r>
        <w:t>Band n90 is introduced by RAN4 in Rel-16 to improve support for LTE/NR dynamic spectrum sharing by supporting:</w:t>
      </w:r>
    </w:p>
    <w:p w14:paraId="0331A785" w14:textId="22BADEFE" w:rsidR="00290056" w:rsidRDefault="00290056" w:rsidP="005D19F4">
      <w:pPr>
        <w:pStyle w:val="ListBullet"/>
      </w:pPr>
      <w:r>
        <w:t>100 kHz channel raster to align with the LTE channel raster</w:t>
      </w:r>
    </w:p>
    <w:p w14:paraId="22F450D7" w14:textId="65161ACC" w:rsidR="00290056" w:rsidRDefault="00290056" w:rsidP="005D19F4">
      <w:pPr>
        <w:pStyle w:val="ListBullet"/>
      </w:pPr>
      <w:r>
        <w:t>UL 7.5 kHz frequency shift to align the NR and LTE UL frequency grid</w:t>
      </w:r>
    </w:p>
    <w:p w14:paraId="29A6245C" w14:textId="77777777" w:rsidR="00290056" w:rsidRDefault="00290056" w:rsidP="00290056">
      <w:pPr>
        <w:pStyle w:val="BodyText"/>
      </w:pPr>
    </w:p>
    <w:p w14:paraId="65CDB6CF" w14:textId="7A7CFF20" w:rsidR="00290056" w:rsidRDefault="005D19F4" w:rsidP="00290056">
      <w:pPr>
        <w:pStyle w:val="BodyText"/>
      </w:pPr>
      <w:r>
        <w:t>Besides that, n90 is mostly equivalent to n41 and RAN4 captured t</w:t>
      </w:r>
      <w:r w:rsidR="00290056">
        <w:t xml:space="preserve">he following </w:t>
      </w:r>
      <w:r>
        <w:t xml:space="preserve">about </w:t>
      </w:r>
      <w:r w:rsidR="00290056">
        <w:t>n90 in TS 38.101-1:</w:t>
      </w:r>
    </w:p>
    <w:p w14:paraId="18FC6C23" w14:textId="2E88DA57" w:rsidR="00290056" w:rsidRDefault="00290056" w:rsidP="005D19F4">
      <w:pPr>
        <w:pStyle w:val="ListBullet"/>
      </w:pPr>
      <w:r>
        <w:t>Unless otherwise stated, the applicability of requirements for Band [n90] is in accordance with</w:t>
      </w:r>
      <w:r w:rsidR="005D19F4">
        <w:t xml:space="preserve"> </w:t>
      </w:r>
      <w:r>
        <w:t>that for Band n41; a UE supporting Band [n90] shall meet the requirements for Band n41.</w:t>
      </w:r>
    </w:p>
    <w:p w14:paraId="2C1DD52F" w14:textId="279F2486" w:rsidR="00290056" w:rsidRDefault="00290056" w:rsidP="005D19F4">
      <w:pPr>
        <w:pStyle w:val="ListBullet"/>
      </w:pPr>
      <w:r>
        <w:t>CA operating bands including Band [n90] are defined by the corresponding CA operating band</w:t>
      </w:r>
      <w:r w:rsidR="005D19F4">
        <w:t xml:space="preserve">s </w:t>
      </w:r>
      <w:r>
        <w:t>including Band n41 with Band [n90] replacing Band n41.</w:t>
      </w:r>
    </w:p>
    <w:p w14:paraId="1F48F08A" w14:textId="3325452E" w:rsidR="0001123F" w:rsidRDefault="0001123F" w:rsidP="0001123F">
      <w:pPr>
        <w:pStyle w:val="BodyText"/>
      </w:pPr>
      <w:r>
        <w:t xml:space="preserve">It should however be noted that RAN4 did not discuss or agree that UEs shall support and test the same functionality on band n90 that they advertise on n41. </w:t>
      </w:r>
    </w:p>
    <w:p w14:paraId="211A0123" w14:textId="232B11DB" w:rsidR="0001123F" w:rsidRDefault="0001123F" w:rsidP="0001123F">
      <w:pPr>
        <w:pStyle w:val="Observation"/>
      </w:pPr>
      <w:bookmarkStart w:id="1" w:name="_Toc24114539"/>
      <w:r>
        <w:t>The RAN4 requirements for n41 and n90 are largely equivalent but RAN4 did not require that a UE supporting both bands implements and tests also the same band combinations and features on both.</w:t>
      </w:r>
      <w:bookmarkEnd w:id="1"/>
      <w:r>
        <w:t xml:space="preserve"> </w:t>
      </w:r>
    </w:p>
    <w:p w14:paraId="2E78DC1D" w14:textId="5D384AD9" w:rsidR="00F93AE2" w:rsidRDefault="00F93AE2" w:rsidP="0001123F">
      <w:pPr>
        <w:pStyle w:val="BodyText"/>
      </w:pPr>
    </w:p>
    <w:p w14:paraId="598175C3" w14:textId="2ED50007" w:rsidR="00F93AE2" w:rsidRDefault="00F93AE2" w:rsidP="0001123F">
      <w:pPr>
        <w:pStyle w:val="BodyText"/>
      </w:pPr>
      <w:r>
        <w:t xml:space="preserve">To save signalling overhead when the network requests both bands, it was proposed in </w:t>
      </w:r>
      <w:hyperlink r:id="rId12" w:history="1">
        <w:r w:rsidRPr="00D60933">
          <w:rPr>
            <w:rStyle w:val="Hyperlink"/>
          </w:rPr>
          <w:t>R2-1913667</w:t>
        </w:r>
      </w:hyperlink>
      <w:r>
        <w:t xml:space="preserve"> that the UE omits the band combination entries for n90 and that the network uses instead the ones reported for n41. This rule would prevent the UE from advertising different band combinations or feature sets for n41 and n90. </w:t>
      </w:r>
      <w:r w:rsidR="00C50688">
        <w:t>Any feature that the UE wants to advertise for n41 must also be supported for n90. What might seem attractive at first might turn out to be a real problem later.</w:t>
      </w:r>
    </w:p>
    <w:p w14:paraId="7956D4E5" w14:textId="3C6ECFFB" w:rsidR="0001123F" w:rsidRDefault="0001123F" w:rsidP="0001123F">
      <w:pPr>
        <w:pStyle w:val="BodyText"/>
      </w:pPr>
      <w:r>
        <w:t xml:space="preserve">UE vendors are usually careful not to advertise functionality in their UE capabilities which they weren’t able to test carefully. Hence, the fact that a UE has successfully passed a test of a band combination </w:t>
      </w:r>
      <w:r w:rsidR="00F93AE2">
        <w:t xml:space="preserve">or other feature with n41 does not necessarily mean that it performed and passed this test also for n90. </w:t>
      </w:r>
    </w:p>
    <w:p w14:paraId="66886C5D" w14:textId="77777777" w:rsidR="00303F1D" w:rsidRDefault="00C50688" w:rsidP="00303F1D">
      <w:pPr>
        <w:pStyle w:val="BodyText"/>
      </w:pPr>
      <w:r>
        <w:lastRenderedPageBreak/>
        <w:t xml:space="preserve">Even though not foreseen today, there could be reasons why certain functionality is not at all possible or feasible to implement in one of the bands. The above-mentioned rule would then disable that feature for both bands even though it could have been used on one of them. </w:t>
      </w:r>
    </w:p>
    <w:p w14:paraId="438DF349" w14:textId="15990634" w:rsidR="00C50688" w:rsidRDefault="00303F1D" w:rsidP="00303F1D">
      <w:pPr>
        <w:pStyle w:val="BodyText"/>
      </w:pPr>
      <w:r>
        <w:t xml:space="preserve">While it could happen in both directions, it seems currently so that n41 is already used widely whereas n90 is not yet. A UE vendor that wants to support n90 and cannot implement and test all </w:t>
      </w:r>
      <w:proofErr w:type="spellStart"/>
      <w:r>
        <w:t>BCs+FSs</w:t>
      </w:r>
      <w:proofErr w:type="spellEnd"/>
      <w:r>
        <w:t xml:space="preserve"> with it from the start would either have to reduce the </w:t>
      </w:r>
      <w:proofErr w:type="spellStart"/>
      <w:r>
        <w:t>BCs+FSs</w:t>
      </w:r>
      <w:proofErr w:type="spellEnd"/>
      <w:r>
        <w:t xml:space="preserve"> offered on n41 or it would have to omit support of n90 entirely. The former is unlikely to happen considering the wide use of n41. The would further delay the introduction of n90 and make it less likely that subsequent UEs will support it (the bar is lifted with each feature already available on n41).</w:t>
      </w:r>
    </w:p>
    <w:p w14:paraId="523D453A" w14:textId="69045E70" w:rsidR="0001123F" w:rsidRDefault="00303F1D" w:rsidP="00303F1D">
      <w:pPr>
        <w:pStyle w:val="Observation"/>
      </w:pPr>
      <w:bookmarkStart w:id="2" w:name="_Toc24114540"/>
      <w:r>
        <w:t xml:space="preserve">Enforcing in ASN.1 signalling that UEs must support the same </w:t>
      </w:r>
      <w:proofErr w:type="spellStart"/>
      <w:r>
        <w:t>BCs+FSs</w:t>
      </w:r>
      <w:proofErr w:type="spellEnd"/>
      <w:r>
        <w:t xml:space="preserve"> in n41 and n90 increases the risk that n90 is not at all supported by UEs.</w:t>
      </w:r>
      <w:bookmarkEnd w:id="2"/>
      <w:r>
        <w:t xml:space="preserve"> </w:t>
      </w:r>
    </w:p>
    <w:p w14:paraId="2DE5BD7E" w14:textId="5561595E" w:rsidR="00303F1D" w:rsidRDefault="00D13DAF" w:rsidP="00303F1D">
      <w:pPr>
        <w:pStyle w:val="BodyText"/>
      </w:pPr>
      <w:r>
        <w:t xml:space="preserve">One could argue that RAN2 could revert the decision if such a challenging situation arises. However, this would not be backwards compatible since networks implemented according to the proposal in </w:t>
      </w:r>
      <w:hyperlink r:id="rId13" w:history="1">
        <w:r w:rsidRPr="00D60933">
          <w:rPr>
            <w:rStyle w:val="Hyperlink"/>
          </w:rPr>
          <w:t>R2-1913667</w:t>
        </w:r>
      </w:hyperlink>
      <w:r>
        <w:t xml:space="preserve"> would anyway use all n41 BC+FS for n90 if the UE indicates support for n90. </w:t>
      </w:r>
      <w:r w:rsidR="005C6F89">
        <w:t xml:space="preserve">It would not comprehend that it is an even newer UE which reports its capabilities for n90 separately. </w:t>
      </w:r>
    </w:p>
    <w:p w14:paraId="12AE485D" w14:textId="7F53AB53" w:rsidR="005C6F89" w:rsidRDefault="005C6F89" w:rsidP="005C6F89">
      <w:pPr>
        <w:pStyle w:val="Observation"/>
      </w:pPr>
      <w:bookmarkStart w:id="3" w:name="_Toc24114541"/>
      <w:r>
        <w:t>A rule that the BC+FS reported for n41 are also applicable for n90 cannot be reverted in a backwards compatible manner.</w:t>
      </w:r>
      <w:bookmarkEnd w:id="3"/>
      <w:r>
        <w:t xml:space="preserve"> </w:t>
      </w:r>
    </w:p>
    <w:p w14:paraId="47E08623" w14:textId="11D8F3FE" w:rsidR="005C6F89" w:rsidRDefault="005C6F89" w:rsidP="005C6F89">
      <w:pPr>
        <w:pStyle w:val="BodyText"/>
      </w:pPr>
      <w:r>
        <w:t xml:space="preserve">To avoid such </w:t>
      </w:r>
      <w:r w:rsidR="003B1DFA">
        <w:t>risks,</w:t>
      </w:r>
      <w:r>
        <w:t xml:space="preserve"> one could consider a variant where the UE is allowed but not required to omit BC+FSs for n90. If it provides at least one BC with n90, the NW would have to use only those for configurations comprising carriers on n90. Otherwise, the network could use all the BC+FS entries for n41. But while this would be attractive in terms of forward- and backward compatibility, it would make the capability evaluation even more complex as the NW would have to parse all BC first to comprehend whether this is the former or the latter case. To avoid this, the UE could include an explicit indication into the UE capabilities to indicate whether </w:t>
      </w:r>
      <w:r w:rsidR="003B1DFA">
        <w:t xml:space="preserve">it provides specific n90 BC+FS or whether the NW shall use the ones given for n41. The UE could even indicate whether the NW may use </w:t>
      </w:r>
      <w:r w:rsidR="003B1DFA" w:rsidRPr="003B1DFA">
        <w:rPr>
          <w:i/>
        </w:rPr>
        <w:t>both</w:t>
      </w:r>
      <w:r w:rsidR="003B1DFA">
        <w:t>, the BCs given for n41 as well as for n90 to evaluate feature support on n90. And on could of course make this signalling more general so that the UE can tell the NW to use BC+FS reported for Band X also for Band Y.</w:t>
      </w:r>
    </w:p>
    <w:p w14:paraId="4B1521AD" w14:textId="2F2CD304" w:rsidR="003B1DFA" w:rsidRDefault="003B1DFA" w:rsidP="005C6F89">
      <w:pPr>
        <w:pStyle w:val="BodyText"/>
      </w:pPr>
      <w:r>
        <w:t xml:space="preserve">All of those and probably many more optimizations (or rather complications) could be introduced. But considering that UE vendors were always keen on being able to report differences for different bands, it seems unlikely that any such re-use would be applied in practice. Its complexity would anyway remain and needs to be dealt with in implementations. And already today the interpretation of the UE capabilities and the selection of an appropriate configuration for the UEs is already one of the most complex though time critical tasks. </w:t>
      </w:r>
    </w:p>
    <w:p w14:paraId="65A81233" w14:textId="49794414" w:rsidR="0050176C" w:rsidRDefault="0050176C" w:rsidP="0050176C">
      <w:pPr>
        <w:pStyle w:val="Observation"/>
      </w:pPr>
      <w:bookmarkStart w:id="4" w:name="_Toc24114542"/>
      <w:r>
        <w:t>While more complex rules and signalling solutions may overcome the problems outlined in the previous proposals, they would also increase the complexity further.</w:t>
      </w:r>
      <w:bookmarkEnd w:id="4"/>
      <w:r>
        <w:t xml:space="preserve"> </w:t>
      </w:r>
    </w:p>
    <w:p w14:paraId="7705A05B" w14:textId="5D3AB7D9" w:rsidR="00303F1D" w:rsidRDefault="00B928CD" w:rsidP="00B928CD">
      <w:pPr>
        <w:pStyle w:val="BodyText"/>
      </w:pPr>
      <w:r>
        <w:t xml:space="preserve">Complex solutions may still be justified if </w:t>
      </w:r>
      <w:r w:rsidR="00EC071C">
        <w:t xml:space="preserve">that cost is justified by a great gain. </w:t>
      </w:r>
      <w:r w:rsidR="002D24C6">
        <w:t xml:space="preserve">In this context gain should be measured in terms of reduced capability signalling size. </w:t>
      </w:r>
      <w:r w:rsidR="00FC48A7">
        <w:t xml:space="preserve">We expect that a network will either operate on n90 or on n41 but not on both. </w:t>
      </w:r>
      <w:r w:rsidR="00B238E7">
        <w:t xml:space="preserve">Furthermore, all UEs that support n90 will also support n41. Hence, if the network uses n90, it will only request capabilities for n90. If it runs on n41, it will only request </w:t>
      </w:r>
      <w:proofErr w:type="spellStart"/>
      <w:r w:rsidR="00B238E7">
        <w:t>BCs+FSs</w:t>
      </w:r>
      <w:proofErr w:type="spellEnd"/>
      <w:r w:rsidR="00B238E7">
        <w:t xml:space="preserve"> for n41. </w:t>
      </w:r>
      <w:r w:rsidR="003C517D">
        <w:t xml:space="preserve">It has been mentioned that there could be parts of the network running n41 whereas other parts run n90. We agree that in such deployments a NW should request capabilities for both </w:t>
      </w:r>
      <w:r w:rsidR="001A1BCD">
        <w:t>bands,</w:t>
      </w:r>
      <w:r w:rsidR="003C517D">
        <w:t xml:space="preserve"> but we have difficulties seeing the need for such a deployment choice.</w:t>
      </w:r>
    </w:p>
    <w:p w14:paraId="30ABE510" w14:textId="257D7F10" w:rsidR="00DC6AE7" w:rsidRDefault="00DC6AE7" w:rsidP="00DC6AE7">
      <w:pPr>
        <w:pStyle w:val="Observation"/>
      </w:pPr>
      <w:bookmarkStart w:id="5" w:name="_Toc24114543"/>
      <w:r>
        <w:t>A network that request capabilities for either n41 or n90 (which should be the typical case) will not benefit at all from the proposed enhancement (but anyway suffer from its risks and complexity).</w:t>
      </w:r>
      <w:bookmarkEnd w:id="5"/>
      <w:r>
        <w:t xml:space="preserve"> </w:t>
      </w:r>
    </w:p>
    <w:p w14:paraId="5A804F05" w14:textId="06CF6254" w:rsidR="00EA7CFE" w:rsidRDefault="00EA7CFE" w:rsidP="00EA7CFE">
      <w:pPr>
        <w:pStyle w:val="BodyText"/>
      </w:pPr>
      <w:r>
        <w:t xml:space="preserve">If a network anyway decides to enquire capabilities for both bands, the saving will be in the number of reported band combinations. </w:t>
      </w:r>
      <w:r w:rsidR="00104400">
        <w:t xml:space="preserve">It is impossible to predict how many band combinations a UE will include in the supportedBandCombination list. However, actions were taken in NR to significantly reduce the number of BCs compared to LTE. Specifically, the UE shall support all fallback combinations implicitly and is hence expected to omit </w:t>
      </w:r>
      <w:r w:rsidR="00BD5EB4">
        <w:t xml:space="preserve">it in </w:t>
      </w:r>
      <w:r w:rsidR="00104400">
        <w:t xml:space="preserve">signalling. </w:t>
      </w:r>
      <w:r w:rsidR="00BD5EB4">
        <w:t xml:space="preserve">Even if the UE supports additional functionality in fallback combinations (with fewer serving cells) or different combinations of features in the top-level combination, it advertises </w:t>
      </w:r>
      <w:r w:rsidR="007805A4">
        <w:t>all those</w:t>
      </w:r>
      <w:r w:rsidR="00BD5EB4">
        <w:t xml:space="preserve"> by additional rows in the feature set combination. </w:t>
      </w:r>
      <w:r w:rsidR="007805A4">
        <w:t xml:space="preserve">Neither the number nor size of the band combinations will increase. </w:t>
      </w:r>
    </w:p>
    <w:p w14:paraId="5CFBEFAE" w14:textId="4544E4CD" w:rsidR="006245DF" w:rsidRDefault="006245DF" w:rsidP="00EA7CFE">
      <w:pPr>
        <w:pStyle w:val="BodyText"/>
      </w:pPr>
      <w:r>
        <w:t xml:space="preserve">Besides reducing the number of band combinations to be signalled, the concept of FeatureSetCombinations also reduces the size of each Band Combination entry since most capabilities were extracted towards the FSD, </w:t>
      </w:r>
      <w:proofErr w:type="spellStart"/>
      <w:r>
        <w:t>FSDpCC</w:t>
      </w:r>
      <w:proofErr w:type="spellEnd"/>
      <w:r>
        <w:t xml:space="preserve">, FSU, </w:t>
      </w:r>
      <w:proofErr w:type="spellStart"/>
      <w:r>
        <w:t>FSUpCC</w:t>
      </w:r>
      <w:proofErr w:type="spellEnd"/>
      <w:r>
        <w:t xml:space="preserve"> information elements. </w:t>
      </w:r>
    </w:p>
    <w:p w14:paraId="1BAD9614" w14:textId="7F0A55D3" w:rsidR="007805A4" w:rsidRDefault="007805A4" w:rsidP="007805A4">
      <w:pPr>
        <w:pStyle w:val="Observation"/>
      </w:pPr>
      <w:bookmarkStart w:id="6" w:name="_Toc24114544"/>
      <w:r>
        <w:lastRenderedPageBreak/>
        <w:t>In NR the UE advertises different combinations of features in a top-level BCs as well as additional functionality for its fallback BCs by additional entries in the FeatureSetCombination. This is supposed to reduce the number of BCs significantly compared to LTE.</w:t>
      </w:r>
      <w:bookmarkEnd w:id="6"/>
      <w:r>
        <w:t xml:space="preserve"> </w:t>
      </w:r>
    </w:p>
    <w:p w14:paraId="4A8B7930" w14:textId="39633CAC" w:rsidR="006245DF" w:rsidRDefault="006245DF" w:rsidP="007805A4">
      <w:pPr>
        <w:pStyle w:val="Observation"/>
      </w:pPr>
      <w:bookmarkStart w:id="7" w:name="_Toc24114545"/>
      <w:r>
        <w:t>The size of each BC entry is kept reasonably low by extracting many parameters to the feature set combinations (</w:t>
      </w:r>
      <w:r w:rsidRPr="006245DF">
        <w:t xml:space="preserve">FSD, </w:t>
      </w:r>
      <w:proofErr w:type="spellStart"/>
      <w:r w:rsidRPr="006245DF">
        <w:t>FSDpCC</w:t>
      </w:r>
      <w:proofErr w:type="spellEnd"/>
      <w:r w:rsidRPr="006245DF">
        <w:t xml:space="preserve">, FSU, </w:t>
      </w:r>
      <w:proofErr w:type="spellStart"/>
      <w:r w:rsidRPr="006245DF">
        <w:t>FSUpCC</w:t>
      </w:r>
      <w:proofErr w:type="spellEnd"/>
      <w:r>
        <w:t>)</w:t>
      </w:r>
      <w:bookmarkEnd w:id="7"/>
    </w:p>
    <w:p w14:paraId="6E7A587F" w14:textId="2AE827BB" w:rsidR="006245DF" w:rsidRDefault="006245DF" w:rsidP="006245DF">
      <w:pPr>
        <w:pStyle w:val="Observation"/>
      </w:pPr>
      <w:bookmarkStart w:id="8" w:name="_Toc24114546"/>
      <w:r>
        <w:t xml:space="preserve">Even in the unlikely scenario where a </w:t>
      </w:r>
      <w:proofErr w:type="gramStart"/>
      <w:r>
        <w:t>network requests UE capabilities</w:t>
      </w:r>
      <w:proofErr w:type="gramEnd"/>
      <w:r>
        <w:t xml:space="preserve"> for n41 and n90, we do not expect significant savings in overhead as the number of BC entries as well as their size is smaller than it used to be in LTE.</w:t>
      </w:r>
      <w:bookmarkEnd w:id="8"/>
    </w:p>
    <w:p w14:paraId="0C90B9DC" w14:textId="3ED12A76" w:rsidR="00C01F33" w:rsidRPr="00CE0424" w:rsidRDefault="00EC4447" w:rsidP="00CE0424">
      <w:pPr>
        <w:pStyle w:val="Heading1"/>
      </w:pPr>
      <w:r>
        <w:t>4</w:t>
      </w:r>
      <w:r>
        <w:tab/>
      </w:r>
      <w:r w:rsidR="00C01F33" w:rsidRPr="00CE0424">
        <w:t>Conclusion</w:t>
      </w:r>
    </w:p>
    <w:p w14:paraId="2736DBE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083DCA" w14:textId="3EC92C3C" w:rsidR="00FF0A9A"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24114539" w:history="1">
        <w:r w:rsidR="00FF0A9A" w:rsidRPr="00CE09C6">
          <w:rPr>
            <w:rStyle w:val="Hyperlink"/>
            <w:noProof/>
          </w:rPr>
          <w:t>Observation 1</w:t>
        </w:r>
        <w:r w:rsidR="00FF0A9A">
          <w:rPr>
            <w:rFonts w:asciiTheme="minorHAnsi" w:eastAsiaTheme="minorEastAsia" w:hAnsiTheme="minorHAnsi" w:cstheme="minorBidi"/>
            <w:b w:val="0"/>
            <w:noProof/>
            <w:sz w:val="22"/>
            <w:szCs w:val="22"/>
            <w:lang w:eastAsia="en-GB"/>
          </w:rPr>
          <w:tab/>
        </w:r>
        <w:r w:rsidR="00FF0A9A" w:rsidRPr="00CE09C6">
          <w:rPr>
            <w:rStyle w:val="Hyperlink"/>
            <w:noProof/>
          </w:rPr>
          <w:t xml:space="preserve">The RAN4 requirements for n41 and n90 are largely equivalent but RAN4 did not </w:t>
        </w:r>
        <w:bookmarkStart w:id="9" w:name="_GoBack"/>
        <w:r w:rsidR="00FF0A9A" w:rsidRPr="00CE09C6">
          <w:rPr>
            <w:rStyle w:val="Hyperlink"/>
            <w:noProof/>
          </w:rPr>
          <w:t xml:space="preserve">require that a UE supporting both bands implements and tests also the same band </w:t>
        </w:r>
        <w:bookmarkEnd w:id="9"/>
        <w:r w:rsidR="00FF0A9A" w:rsidRPr="00CE09C6">
          <w:rPr>
            <w:rStyle w:val="Hyperlink"/>
            <w:noProof/>
          </w:rPr>
          <w:t>combinations and features on both.</w:t>
        </w:r>
      </w:hyperlink>
    </w:p>
    <w:p w14:paraId="77373A35" w14:textId="5290E6DD" w:rsidR="00FF0A9A" w:rsidRDefault="008D1B6E">
      <w:pPr>
        <w:pStyle w:val="TableofFigures"/>
        <w:tabs>
          <w:tab w:val="right" w:leader="dot" w:pos="9629"/>
        </w:tabs>
        <w:rPr>
          <w:rFonts w:asciiTheme="minorHAnsi" w:eastAsiaTheme="minorEastAsia" w:hAnsiTheme="minorHAnsi" w:cstheme="minorBidi"/>
          <w:b w:val="0"/>
          <w:noProof/>
          <w:sz w:val="22"/>
          <w:szCs w:val="22"/>
          <w:lang w:eastAsia="en-GB"/>
        </w:rPr>
      </w:pPr>
      <w:hyperlink w:anchor="_Toc24114540" w:history="1">
        <w:r w:rsidR="00FF0A9A" w:rsidRPr="00CE09C6">
          <w:rPr>
            <w:rStyle w:val="Hyperlink"/>
            <w:noProof/>
          </w:rPr>
          <w:t>Observation 2</w:t>
        </w:r>
        <w:r w:rsidR="00FF0A9A">
          <w:rPr>
            <w:rFonts w:asciiTheme="minorHAnsi" w:eastAsiaTheme="minorEastAsia" w:hAnsiTheme="minorHAnsi" w:cstheme="minorBidi"/>
            <w:b w:val="0"/>
            <w:noProof/>
            <w:sz w:val="22"/>
            <w:szCs w:val="22"/>
            <w:lang w:eastAsia="en-GB"/>
          </w:rPr>
          <w:tab/>
        </w:r>
        <w:r w:rsidR="00FF0A9A" w:rsidRPr="00CE09C6">
          <w:rPr>
            <w:rStyle w:val="Hyperlink"/>
            <w:noProof/>
          </w:rPr>
          <w:t>Enforcing in ASN.1 signalling that UEs must support the same BCs+FSs in n41 and n90 increases the risk that n90 is not at all supported by UEs.</w:t>
        </w:r>
      </w:hyperlink>
    </w:p>
    <w:p w14:paraId="1CC0FC91" w14:textId="3757D214" w:rsidR="00FF0A9A" w:rsidRDefault="008D1B6E">
      <w:pPr>
        <w:pStyle w:val="TableofFigures"/>
        <w:tabs>
          <w:tab w:val="right" w:leader="dot" w:pos="9629"/>
        </w:tabs>
        <w:rPr>
          <w:rFonts w:asciiTheme="minorHAnsi" w:eastAsiaTheme="minorEastAsia" w:hAnsiTheme="minorHAnsi" w:cstheme="minorBidi"/>
          <w:b w:val="0"/>
          <w:noProof/>
          <w:sz w:val="22"/>
          <w:szCs w:val="22"/>
          <w:lang w:eastAsia="en-GB"/>
        </w:rPr>
      </w:pPr>
      <w:hyperlink w:anchor="_Toc24114541" w:history="1">
        <w:r w:rsidR="00FF0A9A" w:rsidRPr="00CE09C6">
          <w:rPr>
            <w:rStyle w:val="Hyperlink"/>
            <w:noProof/>
          </w:rPr>
          <w:t>Observation 3</w:t>
        </w:r>
        <w:r w:rsidR="00FF0A9A">
          <w:rPr>
            <w:rFonts w:asciiTheme="minorHAnsi" w:eastAsiaTheme="minorEastAsia" w:hAnsiTheme="minorHAnsi" w:cstheme="minorBidi"/>
            <w:b w:val="0"/>
            <w:noProof/>
            <w:sz w:val="22"/>
            <w:szCs w:val="22"/>
            <w:lang w:eastAsia="en-GB"/>
          </w:rPr>
          <w:tab/>
        </w:r>
        <w:r w:rsidR="00FF0A9A" w:rsidRPr="00CE09C6">
          <w:rPr>
            <w:rStyle w:val="Hyperlink"/>
            <w:noProof/>
          </w:rPr>
          <w:t>A rule that the BC+FS reported for n41 are also applicable for n90 cannot be reverted in a backwards compatible manner.</w:t>
        </w:r>
      </w:hyperlink>
    </w:p>
    <w:p w14:paraId="32A5FD26" w14:textId="4242F1C4" w:rsidR="00FF0A9A" w:rsidRDefault="008D1B6E">
      <w:pPr>
        <w:pStyle w:val="TableofFigures"/>
        <w:tabs>
          <w:tab w:val="right" w:leader="dot" w:pos="9629"/>
        </w:tabs>
        <w:rPr>
          <w:rFonts w:asciiTheme="minorHAnsi" w:eastAsiaTheme="minorEastAsia" w:hAnsiTheme="minorHAnsi" w:cstheme="minorBidi"/>
          <w:b w:val="0"/>
          <w:noProof/>
          <w:sz w:val="22"/>
          <w:szCs w:val="22"/>
          <w:lang w:eastAsia="en-GB"/>
        </w:rPr>
      </w:pPr>
      <w:hyperlink w:anchor="_Toc24114542" w:history="1">
        <w:r w:rsidR="00FF0A9A" w:rsidRPr="00CE09C6">
          <w:rPr>
            <w:rStyle w:val="Hyperlink"/>
            <w:noProof/>
          </w:rPr>
          <w:t>Observation 4</w:t>
        </w:r>
        <w:r w:rsidR="00FF0A9A">
          <w:rPr>
            <w:rFonts w:asciiTheme="minorHAnsi" w:eastAsiaTheme="minorEastAsia" w:hAnsiTheme="minorHAnsi" w:cstheme="minorBidi"/>
            <w:b w:val="0"/>
            <w:noProof/>
            <w:sz w:val="22"/>
            <w:szCs w:val="22"/>
            <w:lang w:eastAsia="en-GB"/>
          </w:rPr>
          <w:tab/>
        </w:r>
        <w:r w:rsidR="00FF0A9A" w:rsidRPr="00CE09C6">
          <w:rPr>
            <w:rStyle w:val="Hyperlink"/>
            <w:noProof/>
          </w:rPr>
          <w:t>While more complex rules and signalling solutions may overcome the problems outlined in the previous proposals, they would also increase the complexity further.</w:t>
        </w:r>
      </w:hyperlink>
    </w:p>
    <w:p w14:paraId="24ED76AB" w14:textId="7DCD9762" w:rsidR="00FF0A9A" w:rsidRDefault="008D1B6E">
      <w:pPr>
        <w:pStyle w:val="TableofFigures"/>
        <w:tabs>
          <w:tab w:val="right" w:leader="dot" w:pos="9629"/>
        </w:tabs>
        <w:rPr>
          <w:rFonts w:asciiTheme="minorHAnsi" w:eastAsiaTheme="minorEastAsia" w:hAnsiTheme="minorHAnsi" w:cstheme="minorBidi"/>
          <w:b w:val="0"/>
          <w:noProof/>
          <w:sz w:val="22"/>
          <w:szCs w:val="22"/>
          <w:lang w:eastAsia="en-GB"/>
        </w:rPr>
      </w:pPr>
      <w:hyperlink w:anchor="_Toc24114543" w:history="1">
        <w:r w:rsidR="00FF0A9A" w:rsidRPr="00CE09C6">
          <w:rPr>
            <w:rStyle w:val="Hyperlink"/>
            <w:noProof/>
          </w:rPr>
          <w:t>Observation 5</w:t>
        </w:r>
        <w:r w:rsidR="00FF0A9A">
          <w:rPr>
            <w:rFonts w:asciiTheme="minorHAnsi" w:eastAsiaTheme="minorEastAsia" w:hAnsiTheme="minorHAnsi" w:cstheme="minorBidi"/>
            <w:b w:val="0"/>
            <w:noProof/>
            <w:sz w:val="22"/>
            <w:szCs w:val="22"/>
            <w:lang w:eastAsia="en-GB"/>
          </w:rPr>
          <w:tab/>
        </w:r>
        <w:r w:rsidR="00FF0A9A" w:rsidRPr="00CE09C6">
          <w:rPr>
            <w:rStyle w:val="Hyperlink"/>
            <w:noProof/>
          </w:rPr>
          <w:t>A network that request capabilities for either n41 or n90 (which should be the typical case) will not benefit at all from the proposed enhancement (but anyway suffer from its risks and complexity).</w:t>
        </w:r>
      </w:hyperlink>
    </w:p>
    <w:p w14:paraId="44EE4C1F" w14:textId="4668C609" w:rsidR="00FF0A9A" w:rsidRDefault="008D1B6E">
      <w:pPr>
        <w:pStyle w:val="TableofFigures"/>
        <w:tabs>
          <w:tab w:val="right" w:leader="dot" w:pos="9629"/>
        </w:tabs>
        <w:rPr>
          <w:rFonts w:asciiTheme="minorHAnsi" w:eastAsiaTheme="minorEastAsia" w:hAnsiTheme="minorHAnsi" w:cstheme="minorBidi"/>
          <w:b w:val="0"/>
          <w:noProof/>
          <w:sz w:val="22"/>
          <w:szCs w:val="22"/>
          <w:lang w:eastAsia="en-GB"/>
        </w:rPr>
      </w:pPr>
      <w:hyperlink w:anchor="_Toc24114544" w:history="1">
        <w:r w:rsidR="00FF0A9A" w:rsidRPr="00CE09C6">
          <w:rPr>
            <w:rStyle w:val="Hyperlink"/>
            <w:noProof/>
          </w:rPr>
          <w:t>Observation 6</w:t>
        </w:r>
        <w:r w:rsidR="00FF0A9A">
          <w:rPr>
            <w:rFonts w:asciiTheme="minorHAnsi" w:eastAsiaTheme="minorEastAsia" w:hAnsiTheme="minorHAnsi" w:cstheme="minorBidi"/>
            <w:b w:val="0"/>
            <w:noProof/>
            <w:sz w:val="22"/>
            <w:szCs w:val="22"/>
            <w:lang w:eastAsia="en-GB"/>
          </w:rPr>
          <w:tab/>
        </w:r>
        <w:r w:rsidR="00FF0A9A" w:rsidRPr="00CE09C6">
          <w:rPr>
            <w:rStyle w:val="Hyperlink"/>
            <w:noProof/>
          </w:rPr>
          <w:t>In NR the UE advertises different combinations of features in a top-level BCs as well as additional functionality for its fallback BCs by additional entries in the FeatureSetCombination. This is supposed to reduce the number of BCs significantly compared to LTE.</w:t>
        </w:r>
      </w:hyperlink>
    </w:p>
    <w:p w14:paraId="04EB1E7A" w14:textId="68709301" w:rsidR="00FF0A9A" w:rsidRDefault="008D1B6E">
      <w:pPr>
        <w:pStyle w:val="TableofFigures"/>
        <w:tabs>
          <w:tab w:val="right" w:leader="dot" w:pos="9629"/>
        </w:tabs>
        <w:rPr>
          <w:rFonts w:asciiTheme="minorHAnsi" w:eastAsiaTheme="minorEastAsia" w:hAnsiTheme="minorHAnsi" w:cstheme="minorBidi"/>
          <w:b w:val="0"/>
          <w:noProof/>
          <w:sz w:val="22"/>
          <w:szCs w:val="22"/>
          <w:lang w:eastAsia="en-GB"/>
        </w:rPr>
      </w:pPr>
      <w:hyperlink w:anchor="_Toc24114545" w:history="1">
        <w:r w:rsidR="00FF0A9A" w:rsidRPr="00CE09C6">
          <w:rPr>
            <w:rStyle w:val="Hyperlink"/>
            <w:noProof/>
          </w:rPr>
          <w:t>Observation 7</w:t>
        </w:r>
        <w:r w:rsidR="00FF0A9A">
          <w:rPr>
            <w:rFonts w:asciiTheme="minorHAnsi" w:eastAsiaTheme="minorEastAsia" w:hAnsiTheme="minorHAnsi" w:cstheme="minorBidi"/>
            <w:b w:val="0"/>
            <w:noProof/>
            <w:sz w:val="22"/>
            <w:szCs w:val="22"/>
            <w:lang w:eastAsia="en-GB"/>
          </w:rPr>
          <w:tab/>
        </w:r>
        <w:r w:rsidR="00FF0A9A" w:rsidRPr="00CE09C6">
          <w:rPr>
            <w:rStyle w:val="Hyperlink"/>
            <w:noProof/>
          </w:rPr>
          <w:t>The size of each BC entry is kept reasonably low by extracting many parameters to the feature set combinations (FSD, FSDpCC, FSU, FSUpCC)</w:t>
        </w:r>
      </w:hyperlink>
    </w:p>
    <w:p w14:paraId="4AFCE04C" w14:textId="298F46D8" w:rsidR="00FF0A9A" w:rsidRDefault="008D1B6E">
      <w:pPr>
        <w:pStyle w:val="TableofFigures"/>
        <w:tabs>
          <w:tab w:val="right" w:leader="dot" w:pos="9629"/>
        </w:tabs>
        <w:rPr>
          <w:rFonts w:asciiTheme="minorHAnsi" w:eastAsiaTheme="minorEastAsia" w:hAnsiTheme="minorHAnsi" w:cstheme="minorBidi"/>
          <w:b w:val="0"/>
          <w:noProof/>
          <w:sz w:val="22"/>
          <w:szCs w:val="22"/>
          <w:lang w:eastAsia="en-GB"/>
        </w:rPr>
      </w:pPr>
      <w:hyperlink w:anchor="_Toc24114546" w:history="1">
        <w:r w:rsidR="00FF0A9A" w:rsidRPr="00CE09C6">
          <w:rPr>
            <w:rStyle w:val="Hyperlink"/>
            <w:noProof/>
          </w:rPr>
          <w:t>Observation 8</w:t>
        </w:r>
        <w:r w:rsidR="00FF0A9A">
          <w:rPr>
            <w:rFonts w:asciiTheme="minorHAnsi" w:eastAsiaTheme="minorEastAsia" w:hAnsiTheme="minorHAnsi" w:cstheme="minorBidi"/>
            <w:b w:val="0"/>
            <w:noProof/>
            <w:sz w:val="22"/>
            <w:szCs w:val="22"/>
            <w:lang w:eastAsia="en-GB"/>
          </w:rPr>
          <w:tab/>
        </w:r>
        <w:r w:rsidR="00FF0A9A" w:rsidRPr="00CE09C6">
          <w:rPr>
            <w:rStyle w:val="Hyperlink"/>
            <w:noProof/>
          </w:rPr>
          <w:t>Even in the unlikely scenario where a network requests UE capabilities for n41 and n90, we do not expect significant savings in overhead as the number of BC entries as well as their size is smaller than it used to be in LTE.</w:t>
        </w:r>
      </w:hyperlink>
    </w:p>
    <w:p w14:paraId="352F3985" w14:textId="34AB05BF" w:rsidR="006E1C82" w:rsidRDefault="006F6582" w:rsidP="008E065E">
      <w:pPr>
        <w:pStyle w:val="BodyText"/>
        <w:rPr>
          <w:b/>
          <w:bCs/>
        </w:rPr>
      </w:pPr>
      <w:r>
        <w:rPr>
          <w:b/>
          <w:bCs/>
        </w:rPr>
        <w:fldChar w:fldCharType="end"/>
      </w:r>
    </w:p>
    <w:p w14:paraId="6FBE8180" w14:textId="77777777" w:rsidR="006E1C82" w:rsidRDefault="006E1C82" w:rsidP="008E065E">
      <w:pPr>
        <w:pStyle w:val="BodyText"/>
        <w:rPr>
          <w:b/>
          <w:bCs/>
        </w:rPr>
      </w:pPr>
    </w:p>
    <w:p w14:paraId="78A73FA0" w14:textId="69D89426" w:rsidR="008E065E" w:rsidRDefault="00034249" w:rsidP="00034249">
      <w:pPr>
        <w:pStyle w:val="BodyText"/>
      </w:pPr>
      <w:r>
        <w:t>Based the discussion and observations made in the previous section and for the sake of not making the capability signalling and evaluation thereof even more complex we propose the following:</w:t>
      </w:r>
    </w:p>
    <w:p w14:paraId="34B85A6F" w14:textId="5BB92F04" w:rsidR="00034249" w:rsidRPr="00CE0424" w:rsidRDefault="00034249" w:rsidP="00034249">
      <w:pPr>
        <w:pStyle w:val="Proposal"/>
      </w:pPr>
      <w:r>
        <w:t>RAN2 does n</w:t>
      </w:r>
      <w:r w:rsidRPr="00034249">
        <w:t>ot introduce a mechanism where band combinations reported for one band are interpreted as being valid for another band.</w:t>
      </w:r>
    </w:p>
    <w:p w14:paraId="4340C580" w14:textId="77777777" w:rsidR="008E065E" w:rsidRPr="00CE0424" w:rsidRDefault="008E065E" w:rsidP="008E065E">
      <w:pPr>
        <w:rPr>
          <w:b/>
          <w:bCs/>
        </w:rPr>
      </w:pPr>
    </w:p>
    <w:p w14:paraId="26E59A64" w14:textId="77777777" w:rsidR="00AB0BC8" w:rsidRPr="00CE0424" w:rsidRDefault="00AB0BC8" w:rsidP="00A04F49">
      <w:pPr>
        <w:rPr>
          <w:b/>
          <w:bCs/>
        </w:rPr>
      </w:pPr>
    </w:p>
    <w:p w14:paraId="5160AE77" w14:textId="77777777" w:rsidR="00311702" w:rsidRPr="00CE0424" w:rsidRDefault="00311702" w:rsidP="00AB0BC8"/>
    <w:p w14:paraId="0511F7A8" w14:textId="77777777" w:rsidR="00C01F33" w:rsidRPr="00CE0424" w:rsidRDefault="00C01F33" w:rsidP="006E062C"/>
    <w:sectPr w:rsidR="00C01F3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2CA04" w14:textId="77777777" w:rsidR="00223CB6" w:rsidRDefault="00223CB6">
      <w:r>
        <w:separator/>
      </w:r>
    </w:p>
  </w:endnote>
  <w:endnote w:type="continuationSeparator" w:id="0">
    <w:p w14:paraId="14BA3D1D" w14:textId="77777777" w:rsidR="00223CB6" w:rsidRDefault="0022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C89E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7452A" w14:textId="77777777" w:rsidR="00223CB6" w:rsidRDefault="00223CB6">
      <w:r>
        <w:separator/>
      </w:r>
    </w:p>
  </w:footnote>
  <w:footnote w:type="continuationSeparator" w:id="0">
    <w:p w14:paraId="46FC5F7E" w14:textId="77777777" w:rsidR="00223CB6" w:rsidRDefault="00223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EB6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D965766"/>
    <w:multiLevelType w:val="hybridMultilevel"/>
    <w:tmpl w:val="4D16C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B6"/>
    <w:rsid w:val="000006E1"/>
    <w:rsid w:val="00002A37"/>
    <w:rsid w:val="0000564C"/>
    <w:rsid w:val="00006446"/>
    <w:rsid w:val="00006896"/>
    <w:rsid w:val="00007CDC"/>
    <w:rsid w:val="0001123F"/>
    <w:rsid w:val="00011B28"/>
    <w:rsid w:val="00015D15"/>
    <w:rsid w:val="0002564D"/>
    <w:rsid w:val="00025ECA"/>
    <w:rsid w:val="000325B8"/>
    <w:rsid w:val="00034249"/>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4400"/>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1BCD"/>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CB6"/>
    <w:rsid w:val="00223FCB"/>
    <w:rsid w:val="002252C3"/>
    <w:rsid w:val="00225C54"/>
    <w:rsid w:val="00230765"/>
    <w:rsid w:val="00230D18"/>
    <w:rsid w:val="002319E4"/>
    <w:rsid w:val="00235632"/>
    <w:rsid w:val="00235872"/>
    <w:rsid w:val="0023771C"/>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056"/>
    <w:rsid w:val="002907B5"/>
    <w:rsid w:val="00292EB7"/>
    <w:rsid w:val="00296227"/>
    <w:rsid w:val="00296F44"/>
    <w:rsid w:val="0029777D"/>
    <w:rsid w:val="002A055E"/>
    <w:rsid w:val="002A1D4E"/>
    <w:rsid w:val="002A2869"/>
    <w:rsid w:val="002B24D6"/>
    <w:rsid w:val="002C06AD"/>
    <w:rsid w:val="002C41E6"/>
    <w:rsid w:val="002D071A"/>
    <w:rsid w:val="002D24C6"/>
    <w:rsid w:val="002D34B2"/>
    <w:rsid w:val="002D48B0"/>
    <w:rsid w:val="002D5B37"/>
    <w:rsid w:val="002D7637"/>
    <w:rsid w:val="002E17F2"/>
    <w:rsid w:val="002E7CAE"/>
    <w:rsid w:val="002F2771"/>
    <w:rsid w:val="002F37A9"/>
    <w:rsid w:val="00301CE6"/>
    <w:rsid w:val="0030256B"/>
    <w:rsid w:val="00303F1D"/>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5434"/>
    <w:rsid w:val="00377CE1"/>
    <w:rsid w:val="00385BF0"/>
    <w:rsid w:val="003939FF"/>
    <w:rsid w:val="003A2223"/>
    <w:rsid w:val="003A2A0F"/>
    <w:rsid w:val="003A45A1"/>
    <w:rsid w:val="003A5B0A"/>
    <w:rsid w:val="003A6BAC"/>
    <w:rsid w:val="003A70A4"/>
    <w:rsid w:val="003A7EF3"/>
    <w:rsid w:val="003B159C"/>
    <w:rsid w:val="003B1DFA"/>
    <w:rsid w:val="003B369F"/>
    <w:rsid w:val="003B36A3"/>
    <w:rsid w:val="003B64BB"/>
    <w:rsid w:val="003B7FE5"/>
    <w:rsid w:val="003C11C8"/>
    <w:rsid w:val="003C2702"/>
    <w:rsid w:val="003C517D"/>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76C"/>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F89"/>
    <w:rsid w:val="005C74FB"/>
    <w:rsid w:val="005D1602"/>
    <w:rsid w:val="005D19F4"/>
    <w:rsid w:val="005E385F"/>
    <w:rsid w:val="005E5B81"/>
    <w:rsid w:val="005F2CB1"/>
    <w:rsid w:val="005F3025"/>
    <w:rsid w:val="005F618C"/>
    <w:rsid w:val="005F70BD"/>
    <w:rsid w:val="0060283C"/>
    <w:rsid w:val="00604F14"/>
    <w:rsid w:val="00611B83"/>
    <w:rsid w:val="00613257"/>
    <w:rsid w:val="00620A71"/>
    <w:rsid w:val="00620D80"/>
    <w:rsid w:val="006234A6"/>
    <w:rsid w:val="006245D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000"/>
    <w:rsid w:val="00740E58"/>
    <w:rsid w:val="007445A0"/>
    <w:rsid w:val="0074524B"/>
    <w:rsid w:val="00747D8B"/>
    <w:rsid w:val="00751228"/>
    <w:rsid w:val="007571E1"/>
    <w:rsid w:val="00757A16"/>
    <w:rsid w:val="007604B2"/>
    <w:rsid w:val="00765281"/>
    <w:rsid w:val="00766BAD"/>
    <w:rsid w:val="007729A2"/>
    <w:rsid w:val="007755F2"/>
    <w:rsid w:val="00776971"/>
    <w:rsid w:val="007805A4"/>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B6E"/>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8E7"/>
    <w:rsid w:val="00B2763F"/>
    <w:rsid w:val="00B27AAC"/>
    <w:rsid w:val="00B30929"/>
    <w:rsid w:val="00B372AA"/>
    <w:rsid w:val="00B40445"/>
    <w:rsid w:val="00B409E0"/>
    <w:rsid w:val="00B41888"/>
    <w:rsid w:val="00B45A52"/>
    <w:rsid w:val="00B46175"/>
    <w:rsid w:val="00B548B7"/>
    <w:rsid w:val="00B664C7"/>
    <w:rsid w:val="00B739F6"/>
    <w:rsid w:val="00B81A6C"/>
    <w:rsid w:val="00B85DB6"/>
    <w:rsid w:val="00B85DE5"/>
    <w:rsid w:val="00B90F73"/>
    <w:rsid w:val="00B928CD"/>
    <w:rsid w:val="00B93B59"/>
    <w:rsid w:val="00B9406A"/>
    <w:rsid w:val="00BA2280"/>
    <w:rsid w:val="00BA2A08"/>
    <w:rsid w:val="00BA56D2"/>
    <w:rsid w:val="00BA76E0"/>
    <w:rsid w:val="00BB2A25"/>
    <w:rsid w:val="00BB51E9"/>
    <w:rsid w:val="00BC0FDC"/>
    <w:rsid w:val="00BC3053"/>
    <w:rsid w:val="00BC4D2E"/>
    <w:rsid w:val="00BD48AC"/>
    <w:rsid w:val="00BD5EB4"/>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688"/>
    <w:rsid w:val="00C52DCD"/>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DAF"/>
    <w:rsid w:val="00D13E4E"/>
    <w:rsid w:val="00D239A7"/>
    <w:rsid w:val="00D23F47"/>
    <w:rsid w:val="00D36E71"/>
    <w:rsid w:val="00D37D87"/>
    <w:rsid w:val="00D40B33"/>
    <w:rsid w:val="00D4318F"/>
    <w:rsid w:val="00D438BF"/>
    <w:rsid w:val="00D440F8"/>
    <w:rsid w:val="00D546FF"/>
    <w:rsid w:val="00D55AD5"/>
    <w:rsid w:val="00D576CA"/>
    <w:rsid w:val="00D60933"/>
    <w:rsid w:val="00D61AF5"/>
    <w:rsid w:val="00D652B5"/>
    <w:rsid w:val="00D66155"/>
    <w:rsid w:val="00D708B0"/>
    <w:rsid w:val="00D77B1D"/>
    <w:rsid w:val="00D8021F"/>
    <w:rsid w:val="00D80383"/>
    <w:rsid w:val="00D823C6"/>
    <w:rsid w:val="00D8327F"/>
    <w:rsid w:val="00D86CA3"/>
    <w:rsid w:val="00D871CE"/>
    <w:rsid w:val="00D9196D"/>
    <w:rsid w:val="00D92982"/>
    <w:rsid w:val="00DA094F"/>
    <w:rsid w:val="00DA305E"/>
    <w:rsid w:val="00DA5417"/>
    <w:rsid w:val="00DA56E8"/>
    <w:rsid w:val="00DB0A9F"/>
    <w:rsid w:val="00DB377D"/>
    <w:rsid w:val="00DC2D36"/>
    <w:rsid w:val="00DC53EF"/>
    <w:rsid w:val="00DC6AE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A7CFE"/>
    <w:rsid w:val="00EB077B"/>
    <w:rsid w:val="00EB4EA2"/>
    <w:rsid w:val="00EC071C"/>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3AE2"/>
    <w:rsid w:val="00F96985"/>
    <w:rsid w:val="00F97838"/>
    <w:rsid w:val="00FA2BB3"/>
    <w:rsid w:val="00FB4C80"/>
    <w:rsid w:val="00FB6A6A"/>
    <w:rsid w:val="00FC48A7"/>
    <w:rsid w:val="00FC7429"/>
    <w:rsid w:val="00FD07F6"/>
    <w:rsid w:val="00FD1EC8"/>
    <w:rsid w:val="00FD47ED"/>
    <w:rsid w:val="00FD74DB"/>
    <w:rsid w:val="00FD7660"/>
    <w:rsid w:val="00FE0655"/>
    <w:rsid w:val="00FE2365"/>
    <w:rsid w:val="00FE37D7"/>
    <w:rsid w:val="00FE4C7B"/>
    <w:rsid w:val="00FE7336"/>
    <w:rsid w:val="00FE787C"/>
    <w:rsid w:val="00FF0A9A"/>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B2B6E"/>
  <w15:chartTrackingRefBased/>
  <w15:docId w15:val="{5857DF4B-BBC2-43FC-98FA-AB7E973B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7bis/Docs//R2-191366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07bis/Docs//R2-1913667.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7bis/Docs//R2-191366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D60378E-440E-4B17-A813-5225A3A1D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C992D0-66DF-4D74-89FE-2714AAD33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Pages>
  <Words>1735</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10713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Oscar Ohlsson</cp:lastModifiedBy>
  <cp:revision>22</cp:revision>
  <cp:lastPrinted>2008-01-31T07:09:00Z</cp:lastPrinted>
  <dcterms:created xsi:type="dcterms:W3CDTF">2019-11-08T08:30:00Z</dcterms:created>
  <dcterms:modified xsi:type="dcterms:W3CDTF">2019-11-08T13:48:00Z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